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30BD0CDD">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D93714" w:rsidR="00D93714">
        <w:rPr>
          <w:rFonts w:hint="eastAsia" w:ascii="新細明體" w:hAnsi="新細明體" w:eastAsia="新細明體" w:cs="新細明體"/>
          <w:color w:val="000000"/>
        </w:rPr>
        <w:t>內部稽核實施細則</w:t>
      </w:r>
      <w:r w:rsidRPr="00F6439B">
        <w:rPr>
          <w:rFonts w:hint="eastAsia" w:ascii="新細明體" w:hAnsi="新細明體" w:eastAsia="新細明體" w:cs="新細明體"/>
          <w:color w:val="000000"/>
        </w:rPr>
        <w:t>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AA-11500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交割款項收付作業之稽核</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目的：</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確定上述作業是否符合規定辦理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不定期（每月至少查核乙次）</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不定期（每月至少查核乙次）</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配合內部控制制度CA-11500修正。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交割款項收付彙總表之金額加總是否正確，收入及支出各欄之數字是否與相關報表及交割專戶存摺收付之金額相符。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交割款項收付彙總表之金額加總是否正確，收入及支出各欄之數字是否與相關報表及交割專戶存摺收付之金額相符。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客戶交割款項之收付除下列情事(符合證交所「營業細則」第八十三條第三項各款規定之客戶)得以匯撥(匯款)方式完成交割外，是否透過其開設之指定銀行存款帳戶，以帳簿劃撥方式為之：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客戶交割款項之收付除下列情事(符合證交所「營業細則」第八十三條第三項各款規定之客戶)得以匯撥(匯款)方式完成交割外，是否透過其開設之指定銀行存款帳戶，以帳簿劃撥方式為之：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證券投資信託基金、行政院國家發展基金投資之創業投資事業、保險業、境外華僑及外國人與大陸地區投資人及將所持有海外公司債轉換成股票或海外存託憑證兌回原有價證券之華僑及外國人，由保管機構代理開立存款帳戶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證券投資信託基金、行政院國家發展基金投資之創業投資事業、保險業、境外華僑及外國人與大陸地區投資人及將所持有海外公司債轉換成股票或海外存託憑證兌回原有價證券之華僑及外國人，由保管機構代理開立存款帳戶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信託業具有集保參加人身分者，其所管理之集合性質信託資金專戶證券投資信託基金於保管機構(保管銀行)設有存款帳戶者。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信託業具有集保參加人身分者，其所管理之集合性質信託資金專戶證券投資信託基金於保管機構(保管銀行)設有存款帳戶者。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海外存託憑證存託機構於受託兌回賣出持股時，透過其保管機構之存款帳戶者。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海外存託憑證存託機構於受託兌回賣出持股時，透過其保管機構之存款帳戶者。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委任人全權委託證券投資顧問事業或證券投資信託事業買賣有價證券者，於保管機構開設存款帳戶者。同一委任人之不同全權委託投資帳戶，於辦理買賣交割時，不得相互辦理款券撥轉。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委任人全權委託證券投資顧問事業或證券投資信託事業買賣有價證券者，於保管機構開設存款帳戶者。同一委任人之不同全權委託投資帳戶，於辦理買賣交割時，不得相互辦理款券撥轉。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國內銀行及保險公司，如其取得中華信用評等公司評級twA-等級以上，或經主管機關核准或認可之信用評等機構評級與中華信用評等公司之twA-同等級以上之資格條件者。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國內銀行及保險公司，如其取得中華信用評等公司評級twA-等級以上，或經主管機關核准或認可之信用評等機構評級與中華信用評等公司之twA-同等級以上之資格條件者。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政府機關依法令規定透過各該機關之存款帳戶辦理證券買賣款項交割作業者。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政府機關依法令規定透過各該機關之存款帳戶辦理證券買賣款項交割作業者。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委託人同意留存交割款項於證券商交割專戶者。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委託人同意留存交割款項於證券商交割專戶者。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交割款項(含信用交易非交易系統部分)是否均透過交割專戶進行收付。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交割款項(含信用交易非交易系統部分)是否均透過交割專戶進行收付。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公司交割專戶(總、分公司分別計算)之開立：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公司交割專戶(總、分公司分別計算)之開立：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是否函報（過渡性交割專戶為申報）證交所備查。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是否函報（過渡性交割專戶為申報）證交所備查。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是否以其中一戶為主要交割專戶，其餘帳戶僅屬過渡性質。</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是否以其中一戶為主要交割專戶，其餘帳戶僅屬過渡性質。</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增加、減少、更換時，是否於異動後五日內函報（過渡性交割專戶為申報）證交所備查。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增加、減少、更換時，是否於異動後五日內函報（過渡性交割專戶為申報）證交所備查。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過渡性交割專戶中之客戶交割款項是否每日結清匯撥至主要交割專戶或劃撥至客戶存款帳戶，未留有餘額。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過渡性交割專戶中之客戶交割款項是否每日結清匯撥至主要交割專戶或劃撥至客戶存款帳戶，未留有餘額。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對客戶交割專戶之款項是否無流用之情事。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對客戶交割專戶之款項是否無流用之情事。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公司受託買賣變更交易方法有價證券或依其他規定應預收款券之有價證券時，公司是否將預收款券之收受及支付情形，每日編列明細表（受託買進有價證券預收款項明細表、受託賣出預繳有價證券明細表）。未成交者除交易時間結束已逾銀行營業時間者得於次一營業日退還預收款項外，是否立即退還預收之款券及將退還情形記載於前述之明細表。對於受託前一營業日預收或未成交次一營業日退還之款項，是否與客戶議定其利息之歸屬，並留存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公司受託買賣變更交易方法有價證券或依其他規定應預收款券之有價證券時，公司是否將預收款券之收受及支付情形，每日編列明細表（受託買進有價證券預收款項明細表、受託賣出預繳有價證券明細表）。未成交者除交易時間結束已逾銀行營業時間者得於次一營業日退還預收款項外，是否立即退還預收之款券及將退還情形記載於前述之明細表。對於受託前一營業日預收或未成交次一營業日退還之款項，是否與客戶議定其利息之歸屬，並留存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交割專戶設置客戶分戶帳作業是否符合證券商管理規則第38條、11</w:t>
            </w:r>
            <w:r>
              <w:rPr>
                <w:rFonts w:hint="eastAsia" w:ascii="新細明體" w:hAnsi="新細明體" w:eastAsia="新細明體" w:cs="新細明體"/>
                <w:b/>
                <w:u w:val="single"/>
                <w:color w:val="FF0000 "/>
              </w:rPr>
              <w:t>4</w:t>
            </w:r>
            <w:r>
              <w:rPr>
                <w:rFonts w:hint="eastAsia" w:ascii="新細明體" w:hAnsi="新細明體" w:eastAsia="新細明體" w:cs="新細明體"/>
              </w:rPr>
              <w:t>年</w:t>
            </w:r>
            <w:r>
              <w:rPr>
                <w:rFonts w:hint="eastAsia" w:ascii="新細明體" w:hAnsi="新細明體" w:eastAsia="新細明體" w:cs="新細明體"/>
                <w:b/>
                <w:u w:val="single"/>
                <w:color w:val="FF0000 "/>
              </w:rPr>
              <w:t>7</w:t>
            </w:r>
            <w:r>
              <w:rPr>
                <w:rFonts w:hint="eastAsia" w:ascii="新細明體" w:hAnsi="新細明體" w:eastAsia="新細明體" w:cs="新細明體"/>
              </w:rPr>
              <w:t>月</w:t>
            </w:r>
            <w:r>
              <w:rPr>
                <w:rFonts w:hint="eastAsia" w:ascii="新細明體" w:hAnsi="新細明體" w:eastAsia="新細明體" w:cs="新細明體"/>
                <w:b/>
                <w:u w:val="single"/>
                <w:color w:val="FF0000 "/>
              </w:rPr>
              <w:t>24</w:t>
            </w:r>
            <w:r>
              <w:rPr>
                <w:rFonts w:hint="eastAsia" w:ascii="新細明體" w:hAnsi="新細明體" w:eastAsia="新細明體" w:cs="新細明體"/>
              </w:rPr>
              <w:t>日金管證券字第11</w:t>
            </w:r>
            <w:r>
              <w:rPr>
                <w:rFonts w:hint="eastAsia" w:ascii="新細明體" w:hAnsi="新細明體" w:eastAsia="新細明體" w:cs="新細明體"/>
                <w:b/>
                <w:u w:val="single"/>
                <w:color w:val="FF0000 "/>
              </w:rPr>
              <w:t>40</w:t>
            </w:r>
            <w:r>
              <w:rPr>
                <w:rFonts w:hint="eastAsia" w:ascii="新細明體" w:hAnsi="新細明體" w:eastAsia="新細明體" w:cs="新細明體"/>
              </w:rPr>
              <w:t>1</w:t>
            </w:r>
            <w:r>
              <w:rPr>
                <w:rFonts w:hint="eastAsia" w:ascii="新細明體" w:hAnsi="新細明體" w:eastAsia="新細明體" w:cs="新細明體"/>
                <w:b/>
                <w:u w:val="single"/>
                <w:color w:val="FF0000 "/>
              </w:rPr>
              <w:t>4</w:t>
            </w:r>
            <w:r>
              <w:rPr>
                <w:rFonts w:hint="eastAsia" w:ascii="新細明體" w:hAnsi="新細明體" w:eastAsia="新細明體" w:cs="新細明體"/>
              </w:rPr>
              <w:t>0</w:t>
            </w:r>
            <w:r>
              <w:rPr>
                <w:rFonts w:hint="eastAsia" w:ascii="新細明體" w:hAnsi="新細明體" w:eastAsia="新細明體" w:cs="新細明體"/>
                <w:b/>
                <w:u w:val="single"/>
                <w:color w:val="FF0000 "/>
              </w:rPr>
              <w:t>2</w:t>
            </w:r>
            <w:r>
              <w:rPr>
                <w:rFonts w:hint="eastAsia" w:ascii="新細明體" w:hAnsi="新細明體" w:eastAsia="新細明體" w:cs="新細明體"/>
              </w:rPr>
              <w:t>4</w:t>
            </w:r>
            <w:r>
              <w:rPr>
                <w:rFonts w:hint="eastAsia" w:ascii="新細明體" w:hAnsi="新細明體" w:eastAsia="新細明體" w:cs="新細明體"/>
                <w:b/>
                <w:u w:val="single"/>
                <w:color w:val="FF0000 "/>
              </w:rPr>
              <w:t>0</w:t>
            </w:r>
            <w:r>
              <w:rPr>
                <w:rFonts w:hint="eastAsia" w:ascii="新細明體" w:hAnsi="新細明體" w:eastAsia="新細明體" w:cs="新細明體"/>
              </w:rPr>
              <w:t>號令、證券商交割專戶設置客戶分戶帳作業要點及公司內部控制制度等規定。</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交割專戶設置客戶分戶帳作業是否符合證券商管理規則第38條、11</w:t>
            </w:r>
            <w:r>
              <w:rPr>
                <w:rFonts w:hint="eastAsia" w:ascii="新細明體" w:hAnsi="新細明體" w:eastAsia="新細明體" w:cs="新細明體"/>
                <w:b/>
                <w:color w:val="FF0000 "/>
              </w:rPr>
              <w:t>1</w:t>
            </w:r>
            <w:r>
              <w:rPr>
                <w:rFonts w:hint="eastAsia" w:ascii="新細明體" w:hAnsi="新細明體" w:eastAsia="新細明體" w:cs="新細明體"/>
              </w:rPr>
              <w:t>年</w:t>
            </w:r>
            <w:r>
              <w:rPr>
                <w:rFonts w:hint="eastAsia" w:ascii="新細明體" w:hAnsi="新細明體" w:eastAsia="新細明體" w:cs="新細明體"/>
                <w:b/>
                <w:color w:val="FF0000 "/>
              </w:rPr>
              <w:t>9</w:t>
            </w:r>
            <w:r>
              <w:rPr>
                <w:rFonts w:hint="eastAsia" w:ascii="新細明體" w:hAnsi="新細明體" w:eastAsia="新細明體" w:cs="新細明體"/>
              </w:rPr>
              <w:t>月</w:t>
            </w:r>
            <w:r>
              <w:rPr>
                <w:rFonts w:hint="eastAsia" w:ascii="新細明體" w:hAnsi="新細明體" w:eastAsia="新細明體" w:cs="新細明體"/>
                <w:b/>
                <w:color w:val="FF0000 "/>
              </w:rPr>
              <w:t>5</w:t>
            </w:r>
            <w:r>
              <w:rPr>
                <w:rFonts w:hint="eastAsia" w:ascii="新細明體" w:hAnsi="新細明體" w:eastAsia="新細明體" w:cs="新細明體"/>
              </w:rPr>
              <w:t>日金管證券字第1110</w:t>
            </w:r>
            <w:r>
              <w:rPr>
                <w:rFonts w:hint="eastAsia" w:ascii="新細明體" w:hAnsi="新細明體" w:eastAsia="新細明體" w:cs="新細明體"/>
                <w:b/>
                <w:color w:val="FF0000 "/>
              </w:rPr>
              <w:t>3836</w:t>
            </w:r>
            <w:r>
              <w:rPr>
                <w:rFonts w:hint="eastAsia" w:ascii="新細明體" w:hAnsi="新細明體" w:eastAsia="新細明體" w:cs="新細明體"/>
              </w:rPr>
              <w:t>4</w:t>
            </w:r>
            <w:r>
              <w:rPr>
                <w:rFonts w:hint="eastAsia" w:ascii="新細明體" w:hAnsi="新細明體" w:eastAsia="新細明體" w:cs="新細明體"/>
                <w:b/>
                <w:color w:val="FF0000 "/>
              </w:rPr>
              <w:t>64</w:t>
            </w:r>
            <w:r>
              <w:rPr>
                <w:rFonts w:hint="eastAsia" w:ascii="新細明體" w:hAnsi="新細明體" w:eastAsia="新細明體" w:cs="新細明體"/>
              </w:rPr>
              <w:t>號令、證券商交割專戶設置客戶分戶帳作業要點及公司內部控制制度等規定。</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B3CAF" w:rsidR="00E87601" w:rsidRDefault="00E87601" w14:paraId="16C7968A" w14:textId="77777777">
      <w:pPr>
        <w:spacing w:line="360" w:lineRule="exact"/>
        <w:rPr>
          <w:rFonts w:ascii="新細明體" w:hAnsi="新細明體" w:eastAsia="新細明體" w:cs="Times New Roman"/>
        </w:rPr>
      </w:pPr>
    </w:p>
    <w:sectPr w:rsidRPr="00FB3CAF" w:rsidR="00E87601"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Company>Hewlett-Packard Company</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14</cp:revision>
  <cp:lastPrinted>2004-03-09T19:20:00Z</cp:lastPrinted>
  <dcterms:created xsi:type="dcterms:W3CDTF">2025-04-18T10:47:00Z</dcterms:created>
  <dcterms:modified xsi:type="dcterms:W3CDTF">2025-12-09T05:52:00Z</dcterms:modified>
</cp:coreProperties>
</file>